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1E8F" w14:textId="06CB4940" w:rsidR="008E7F64" w:rsidRPr="008E61AE" w:rsidRDefault="008E7F64" w:rsidP="003B001C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8E61AE">
        <w:rPr>
          <w:rFonts w:asciiTheme="minorHAnsi" w:hAnsiTheme="minorHAnsi" w:cstheme="minorHAnsi"/>
          <w:b/>
          <w:sz w:val="24"/>
          <w:szCs w:val="24"/>
        </w:rPr>
        <w:t xml:space="preserve">This update is for </w:t>
      </w:r>
      <w:r w:rsidR="00FA0973">
        <w:rPr>
          <w:rFonts w:asciiTheme="minorHAnsi" w:hAnsiTheme="minorHAnsi" w:cstheme="minorHAnsi"/>
          <w:b/>
          <w:sz w:val="24"/>
          <w:szCs w:val="24"/>
        </w:rPr>
        <w:t xml:space="preserve">all </w:t>
      </w:r>
      <w:r w:rsidR="004154BC">
        <w:rPr>
          <w:rFonts w:asciiTheme="minorHAnsi" w:hAnsiTheme="minorHAnsi" w:cstheme="minorHAnsi"/>
          <w:b/>
          <w:sz w:val="24"/>
          <w:szCs w:val="24"/>
        </w:rPr>
        <w:t>general prac</w:t>
      </w:r>
      <w:r w:rsidR="00F647F2">
        <w:rPr>
          <w:rFonts w:asciiTheme="minorHAnsi" w:hAnsiTheme="minorHAnsi" w:cstheme="minorHAnsi"/>
          <w:b/>
          <w:sz w:val="24"/>
          <w:szCs w:val="24"/>
        </w:rPr>
        <w:t>t</w:t>
      </w:r>
      <w:r w:rsidR="004154BC">
        <w:rPr>
          <w:rFonts w:asciiTheme="minorHAnsi" w:hAnsiTheme="minorHAnsi" w:cstheme="minorHAnsi"/>
          <w:b/>
          <w:sz w:val="24"/>
          <w:szCs w:val="24"/>
        </w:rPr>
        <w:t xml:space="preserve">itioners and </w:t>
      </w:r>
      <w:r w:rsidR="005D5D77" w:rsidRPr="008E61AE">
        <w:rPr>
          <w:rFonts w:asciiTheme="minorHAnsi" w:hAnsiTheme="minorHAnsi" w:cstheme="minorHAnsi"/>
          <w:b/>
          <w:sz w:val="24"/>
          <w:szCs w:val="24"/>
        </w:rPr>
        <w:t xml:space="preserve">specialists </w:t>
      </w:r>
    </w:p>
    <w:p w14:paraId="6F540A5B" w14:textId="2B86A9C4" w:rsidR="00A615DA" w:rsidRDefault="00A615DA" w:rsidP="00A615DA">
      <w:pPr>
        <w:spacing w:before="240" w:line="240" w:lineRule="auto"/>
      </w:pPr>
      <w:r w:rsidRPr="00A615DA">
        <w:rPr>
          <w:rFonts w:cstheme="minorHAnsi"/>
        </w:rPr>
        <w:t>The British Columbia COVID-19 Therapeutics Committee</w:t>
      </w:r>
      <w:r>
        <w:rPr>
          <w:rFonts w:cstheme="minorHAnsi"/>
        </w:rPr>
        <w:t xml:space="preserve"> (CTC)</w:t>
      </w:r>
      <w:r w:rsidRPr="00A615DA">
        <w:rPr>
          <w:rFonts w:cstheme="minorHAnsi"/>
        </w:rPr>
        <w:t xml:space="preserve"> provides guidance on the most current research on the use of therapies in the management of COVID-19</w:t>
      </w:r>
      <w:r>
        <w:rPr>
          <w:rFonts w:cstheme="minorHAnsi"/>
        </w:rPr>
        <w:t xml:space="preserve"> </w:t>
      </w:r>
      <w:hyperlink r:id="rId8" w:history="1">
        <w:r w:rsidRPr="00660AB7">
          <w:rPr>
            <w:rStyle w:val="Hyperlink"/>
          </w:rPr>
          <w:t>http://www.bccdc.ca/health-professionals/clinical-resources/covid-19-care/treatments</w:t>
        </w:r>
      </w:hyperlink>
      <w:r>
        <w:t xml:space="preserve"> </w:t>
      </w:r>
    </w:p>
    <w:p w14:paraId="682B86AA" w14:textId="77777777" w:rsidR="00D370A5" w:rsidRDefault="00D370A5" w:rsidP="00D370A5">
      <w:pPr>
        <w:pStyle w:val="NoSpacing"/>
      </w:pPr>
    </w:p>
    <w:p w14:paraId="43660D65" w14:textId="77777777" w:rsidR="00D370A5" w:rsidRPr="00527F49" w:rsidRDefault="00D370A5" w:rsidP="00D370A5">
      <w:pPr>
        <w:shd w:val="clear" w:color="auto" w:fill="E8ECF0"/>
        <w:spacing w:line="240" w:lineRule="auto"/>
        <w:rPr>
          <w:rFonts w:cstheme="minorHAnsi"/>
          <w:b/>
          <w:bCs/>
          <w:color w:val="002F59"/>
          <w:sz w:val="24"/>
          <w:szCs w:val="24"/>
        </w:rPr>
      </w:pPr>
      <w:r>
        <w:rPr>
          <w:rFonts w:cstheme="minorHAnsi"/>
          <w:b/>
          <w:bCs/>
          <w:color w:val="002F59"/>
          <w:sz w:val="24"/>
          <w:szCs w:val="24"/>
        </w:rPr>
        <w:t xml:space="preserve">How do I order a PCR test? </w:t>
      </w:r>
    </w:p>
    <w:p w14:paraId="3D1CC3C4" w14:textId="77777777" w:rsidR="00D370A5" w:rsidRDefault="00D370A5" w:rsidP="00D370A5">
      <w:r>
        <w:t xml:space="preserve">The testing guidelines reflect a RAT-based testing strategy, however, clinicians can order a PCR at their discretion, for example in high-risk patients (e.g., CEV 1) who remain negative via </w:t>
      </w:r>
      <w:proofErr w:type="gramStart"/>
      <w:r>
        <w:t>RAT</w:t>
      </w:r>
      <w:proofErr w:type="gramEnd"/>
      <w:r>
        <w:t xml:space="preserve"> but the clinical suspicion is very high. Treatment may also be started empirically while awaiting PCR results. For information about how to order a PCR test, see </w:t>
      </w:r>
      <w:hyperlink r:id="rId9" w:anchor="pcr" w:history="1">
        <w:r w:rsidRPr="00BE4D34">
          <w:rPr>
            <w:rStyle w:val="Hyperlink"/>
          </w:rPr>
          <w:t>http://www.bccdc.ca/health-info/diseases-conditions/covid-19/testing/where-to-get-a-covid-19-test-in-bc#pcr</w:t>
        </w:r>
      </w:hyperlink>
      <w:r>
        <w:t xml:space="preserve">. </w:t>
      </w:r>
    </w:p>
    <w:p w14:paraId="138F1B82" w14:textId="69EC1640" w:rsidR="00D370A5" w:rsidRDefault="00D370A5" w:rsidP="00D370A5">
      <w:r>
        <w:t>Testing information is update regularly at</w:t>
      </w:r>
      <w:r w:rsidRPr="00834F35">
        <w:t xml:space="preserve"> </w:t>
      </w:r>
      <w:hyperlink r:id="rId10" w:history="1">
        <w:r w:rsidRPr="00BE4D34">
          <w:rPr>
            <w:rStyle w:val="Hyperlink"/>
          </w:rPr>
          <w:t>http://www.bccdc.ca/health-info/diseases-conditions/covid-19/testing</w:t>
        </w:r>
      </w:hyperlink>
      <w:r>
        <w:t>. This website provides practical information for patients and providers alike.</w:t>
      </w:r>
    </w:p>
    <w:p w14:paraId="211E8951" w14:textId="77777777" w:rsidR="00D370A5" w:rsidRDefault="00D370A5" w:rsidP="00D370A5">
      <w:pPr>
        <w:pStyle w:val="NoSpacing"/>
      </w:pPr>
    </w:p>
    <w:p w14:paraId="73353693" w14:textId="79212848" w:rsidR="00D87FD9" w:rsidRPr="00527F49" w:rsidRDefault="00D87FD9" w:rsidP="00D87FD9">
      <w:pPr>
        <w:shd w:val="clear" w:color="auto" w:fill="E8ECF0"/>
        <w:spacing w:line="240" w:lineRule="auto"/>
        <w:rPr>
          <w:rFonts w:cstheme="minorHAnsi"/>
          <w:b/>
          <w:bCs/>
          <w:color w:val="002F59"/>
          <w:sz w:val="24"/>
          <w:szCs w:val="24"/>
        </w:rPr>
      </w:pPr>
      <w:r>
        <w:rPr>
          <w:rFonts w:cstheme="minorHAnsi"/>
          <w:b/>
          <w:bCs/>
          <w:color w:val="002F59"/>
          <w:sz w:val="24"/>
          <w:szCs w:val="28"/>
        </w:rPr>
        <w:t xml:space="preserve">Any new information or evidence </w:t>
      </w:r>
      <w:r w:rsidR="00C03E9E">
        <w:rPr>
          <w:rFonts w:cstheme="minorHAnsi"/>
          <w:b/>
          <w:bCs/>
          <w:color w:val="002F59"/>
          <w:sz w:val="24"/>
          <w:szCs w:val="28"/>
        </w:rPr>
        <w:t xml:space="preserve">about </w:t>
      </w:r>
      <w:proofErr w:type="spellStart"/>
      <w:r w:rsidR="00C03E9E" w:rsidRPr="00C03E9E">
        <w:rPr>
          <w:rFonts w:cstheme="minorHAnsi"/>
          <w:b/>
          <w:bCs/>
          <w:color w:val="002F59"/>
          <w:sz w:val="24"/>
          <w:szCs w:val="28"/>
        </w:rPr>
        <w:t>tixagevimab</w:t>
      </w:r>
      <w:proofErr w:type="spellEnd"/>
      <w:r w:rsidR="00C03E9E" w:rsidRPr="00C03E9E">
        <w:rPr>
          <w:rFonts w:cstheme="minorHAnsi"/>
          <w:b/>
          <w:bCs/>
          <w:color w:val="002F59"/>
          <w:sz w:val="24"/>
          <w:szCs w:val="28"/>
        </w:rPr>
        <w:t>/</w:t>
      </w:r>
      <w:proofErr w:type="spellStart"/>
      <w:r w:rsidR="00C03E9E" w:rsidRPr="00C03E9E">
        <w:rPr>
          <w:rFonts w:cstheme="minorHAnsi"/>
          <w:b/>
          <w:bCs/>
          <w:color w:val="002F59"/>
          <w:sz w:val="24"/>
          <w:szCs w:val="28"/>
        </w:rPr>
        <w:t>cilgavimab</w:t>
      </w:r>
      <w:proofErr w:type="spellEnd"/>
      <w:r w:rsidR="00C03E9E" w:rsidRPr="00C03E9E">
        <w:rPr>
          <w:rFonts w:cstheme="minorHAnsi"/>
          <w:b/>
          <w:bCs/>
          <w:color w:val="002F59"/>
          <w:sz w:val="24"/>
          <w:szCs w:val="28"/>
        </w:rPr>
        <w:t xml:space="preserve"> (</w:t>
      </w:r>
      <w:proofErr w:type="spellStart"/>
      <w:r w:rsidR="00C03E9E" w:rsidRPr="00C03E9E">
        <w:rPr>
          <w:rFonts w:cstheme="minorHAnsi"/>
          <w:b/>
          <w:bCs/>
          <w:color w:val="002F59"/>
          <w:sz w:val="24"/>
          <w:szCs w:val="28"/>
        </w:rPr>
        <w:t>Evusheld</w:t>
      </w:r>
      <w:proofErr w:type="spellEnd"/>
      <w:r w:rsidR="00C03E9E" w:rsidRPr="00C03E9E">
        <w:rPr>
          <w:rFonts w:cstheme="minorHAnsi"/>
          <w:b/>
          <w:bCs/>
          <w:color w:val="002F59"/>
          <w:sz w:val="24"/>
          <w:szCs w:val="28"/>
        </w:rPr>
        <w:t>)</w:t>
      </w:r>
      <w:r>
        <w:rPr>
          <w:rFonts w:cstheme="minorHAnsi"/>
          <w:b/>
          <w:bCs/>
          <w:color w:val="002F59"/>
          <w:sz w:val="24"/>
          <w:szCs w:val="28"/>
        </w:rPr>
        <w:t>?</w:t>
      </w:r>
    </w:p>
    <w:p w14:paraId="1F711A83" w14:textId="7863801F" w:rsidR="00D87FD9" w:rsidRDefault="00D87FD9" w:rsidP="00D87FD9">
      <w:r w:rsidRPr="00D87FD9">
        <w:t>Due to the resistance of currently circulating variants of concern (VoC</w:t>
      </w:r>
      <w:r w:rsidR="006A7E95">
        <w:t>s</w:t>
      </w:r>
      <w:r w:rsidRPr="00D87FD9">
        <w:t xml:space="preserve">) and safety concerns, the CTC recommends against any further use of </w:t>
      </w:r>
      <w:proofErr w:type="spellStart"/>
      <w:r w:rsidRPr="00D87FD9">
        <w:t>tixagevimab</w:t>
      </w:r>
      <w:proofErr w:type="spellEnd"/>
      <w:r w:rsidRPr="00D87FD9">
        <w:t>/</w:t>
      </w:r>
      <w:proofErr w:type="spellStart"/>
      <w:r w:rsidRPr="00D87FD9">
        <w:t>cilgavimab</w:t>
      </w:r>
      <w:proofErr w:type="spellEnd"/>
      <w:r>
        <w:t xml:space="preserve"> (</w:t>
      </w:r>
      <w:proofErr w:type="spellStart"/>
      <w:r>
        <w:t>Evusheld</w:t>
      </w:r>
      <w:proofErr w:type="spellEnd"/>
      <w:r>
        <w:t>)</w:t>
      </w:r>
      <w:r w:rsidR="006A7E95">
        <w:t xml:space="preserve"> for prevention or treatment</w:t>
      </w:r>
      <w:r>
        <w:t xml:space="preserve">. </w:t>
      </w:r>
    </w:p>
    <w:p w14:paraId="22E0C73E" w14:textId="68EA0013" w:rsidR="00C03E9E" w:rsidRPr="00C03E9E" w:rsidRDefault="00C03E9E" w:rsidP="00C03E9E">
      <w:pPr>
        <w:rPr>
          <w:b/>
          <w:bCs/>
        </w:rPr>
      </w:pPr>
      <w:r w:rsidRPr="00C03E9E">
        <w:t xml:space="preserve">Recently, BC has seen a surge of VoCs demonstrating a </w:t>
      </w:r>
      <w:hyperlink r:id="rId11" w:history="1">
        <w:r w:rsidRPr="00C03E9E">
          <w:rPr>
            <w:rStyle w:val="Hyperlink"/>
          </w:rPr>
          <w:t>high level of resistance</w:t>
        </w:r>
      </w:hyperlink>
      <w:r w:rsidRPr="00C03E9E">
        <w:t xml:space="preserve"> to </w:t>
      </w:r>
      <w:proofErr w:type="spellStart"/>
      <w:r w:rsidRPr="00C03E9E">
        <w:t>tixagevimab</w:t>
      </w:r>
      <w:proofErr w:type="spellEnd"/>
      <w:r w:rsidRPr="00C03E9E">
        <w:t xml:space="preserve"> and </w:t>
      </w:r>
      <w:proofErr w:type="spellStart"/>
      <w:r w:rsidRPr="00C03E9E">
        <w:t>cilgavimab</w:t>
      </w:r>
      <w:proofErr w:type="spellEnd"/>
      <w:r w:rsidRPr="00C03E9E">
        <w:t xml:space="preserve">. BQ 1 and BQ 1.1 are two of the fastest growing subvariants, and both show &gt;1000-fold reductions in binding, leading to guidance against their use. Furthermore, </w:t>
      </w:r>
      <w:proofErr w:type="spellStart"/>
      <w:r w:rsidRPr="00C03E9E">
        <w:t>tixagevimab</w:t>
      </w:r>
      <w:proofErr w:type="spellEnd"/>
      <w:r w:rsidRPr="00C03E9E">
        <w:t>/</w:t>
      </w:r>
      <w:proofErr w:type="spellStart"/>
      <w:r w:rsidRPr="00C03E9E">
        <w:t>cilgavimab</w:t>
      </w:r>
      <w:proofErr w:type="spellEnd"/>
      <w:r w:rsidRPr="00C03E9E">
        <w:t xml:space="preserve"> are inactive against XBB 1.5, which is also rapidly rising. Over 55% of all VoCs in BC are completely resistant to </w:t>
      </w:r>
      <w:proofErr w:type="spellStart"/>
      <w:r w:rsidRPr="00C03E9E">
        <w:t>tixagavimab</w:t>
      </w:r>
      <w:proofErr w:type="spellEnd"/>
      <w:r w:rsidRPr="00C03E9E">
        <w:t>/</w:t>
      </w:r>
      <w:proofErr w:type="spellStart"/>
      <w:r w:rsidRPr="00C03E9E">
        <w:t>cilgavimab</w:t>
      </w:r>
      <w:proofErr w:type="spellEnd"/>
      <w:r w:rsidRPr="00C03E9E">
        <w:t xml:space="preserve">, and that proportion is growing exponentially. On January 17, 2023, </w:t>
      </w:r>
      <w:hyperlink r:id="rId12" w:history="1">
        <w:r w:rsidRPr="00C03E9E">
          <w:rPr>
            <w:rStyle w:val="Hyperlink"/>
          </w:rPr>
          <w:t>Health Canada communicated</w:t>
        </w:r>
      </w:hyperlink>
      <w:r w:rsidRPr="00C03E9E">
        <w:t xml:space="preserve"> about its loss of activity</w:t>
      </w:r>
      <w:r w:rsidR="006A7E95">
        <w:t xml:space="preserve"> and warned clinicians against further use against resistant variants</w:t>
      </w:r>
      <w:r w:rsidRPr="00C03E9E">
        <w:t xml:space="preserve">. </w:t>
      </w:r>
    </w:p>
    <w:p w14:paraId="7FD61655" w14:textId="32B332D2" w:rsidR="00C03E9E" w:rsidRPr="00C03E9E" w:rsidRDefault="00C03E9E" w:rsidP="00C03E9E">
      <w:pPr>
        <w:rPr>
          <w:b/>
          <w:bCs/>
        </w:rPr>
      </w:pPr>
      <w:r w:rsidRPr="00C03E9E">
        <w:t xml:space="preserve">The safety of </w:t>
      </w:r>
      <w:proofErr w:type="spellStart"/>
      <w:r w:rsidRPr="00C03E9E">
        <w:t>tixagevimab</w:t>
      </w:r>
      <w:proofErr w:type="spellEnd"/>
      <w:r w:rsidRPr="00C03E9E">
        <w:t>/</w:t>
      </w:r>
      <w:proofErr w:type="spellStart"/>
      <w:r w:rsidRPr="00C03E9E">
        <w:t>cilgavimab</w:t>
      </w:r>
      <w:proofErr w:type="spellEnd"/>
      <w:r w:rsidRPr="00C03E9E">
        <w:t xml:space="preserve"> has also come into question. A </w:t>
      </w:r>
      <w:hyperlink r:id="rId13" w:history="1">
        <w:r w:rsidRPr="00C03E9E">
          <w:rPr>
            <w:rStyle w:val="Hyperlink"/>
          </w:rPr>
          <w:t>recent meta-analysis</w:t>
        </w:r>
      </w:hyperlink>
      <w:r w:rsidRPr="00C03E9E">
        <w:t xml:space="preserve"> demonstrate</w:t>
      </w:r>
      <w:r w:rsidR="006A7E95">
        <w:t>d</w:t>
      </w:r>
      <w:r w:rsidRPr="00C03E9E">
        <w:t xml:space="preserve"> a two-fold increased risk of cardiac and vascular serious adverse events (SAEs) from randomized controlled trials. Furthermore, an analysis of adverse events from the WHO </w:t>
      </w:r>
      <w:hyperlink r:id="rId14" w:history="1">
        <w:r w:rsidRPr="00C03E9E">
          <w:rPr>
            <w:rStyle w:val="Hyperlink"/>
          </w:rPr>
          <w:t>pharmacovigilance database</w:t>
        </w:r>
      </w:hyperlink>
      <w:r w:rsidRPr="00C03E9E">
        <w:t xml:space="preserve"> also showed that </w:t>
      </w:r>
      <w:proofErr w:type="spellStart"/>
      <w:r w:rsidRPr="00C03E9E">
        <w:t>tixagevimab</w:t>
      </w:r>
      <w:proofErr w:type="spellEnd"/>
      <w:r w:rsidRPr="00C03E9E">
        <w:t>/</w:t>
      </w:r>
      <w:proofErr w:type="spellStart"/>
      <w:r w:rsidRPr="00C03E9E">
        <w:t>cilgavimab</w:t>
      </w:r>
      <w:proofErr w:type="spellEnd"/>
      <w:r w:rsidRPr="00C03E9E">
        <w:t xml:space="preserve"> recipients had 3-4-fold higher odds of such SAEs when compared to other monoclonal antibodies.</w:t>
      </w:r>
    </w:p>
    <w:p w14:paraId="685A4811" w14:textId="4D0E1BCA" w:rsidR="00D87FD9" w:rsidRDefault="00935B1C" w:rsidP="00D87FD9">
      <w:pPr>
        <w:pStyle w:val="NoSpacing"/>
      </w:pPr>
      <w:r>
        <w:t xml:space="preserve">The CTC continues to recommend the following </w:t>
      </w:r>
      <w:r w:rsidR="00D87FD9">
        <w:t>agents for the treatment of COVID-19 in mildly-moderately ill patients. These therapies include:</w:t>
      </w:r>
    </w:p>
    <w:p w14:paraId="6A8BA5C4" w14:textId="7A035745" w:rsidR="00D87FD9" w:rsidRPr="00AE5F0E" w:rsidRDefault="009B24D4" w:rsidP="00D87FD9">
      <w:pPr>
        <w:pStyle w:val="NoSpacing"/>
        <w:numPr>
          <w:ilvl w:val="0"/>
          <w:numId w:val="36"/>
        </w:numPr>
        <w:rPr>
          <w:lang w:val="es-ES"/>
        </w:rPr>
      </w:pPr>
      <w:r w:rsidRPr="00AE5F0E">
        <w:rPr>
          <w:lang w:val="es-ES"/>
        </w:rPr>
        <w:t>O</w:t>
      </w:r>
      <w:r w:rsidR="00D87FD9" w:rsidRPr="00AE5F0E">
        <w:rPr>
          <w:lang w:val="es-ES"/>
        </w:rPr>
        <w:t>ral antiviral nirmatrelvir/ritonavir (</w:t>
      </w:r>
      <w:r w:rsidR="00D87FD9" w:rsidRPr="00AE5F0E">
        <w:rPr>
          <w:b/>
          <w:bCs/>
          <w:lang w:val="es-ES"/>
        </w:rPr>
        <w:t>Paxlovid</w:t>
      </w:r>
      <w:r w:rsidR="00D87FD9" w:rsidRPr="00AE5F0E">
        <w:rPr>
          <w:lang w:val="es-ES"/>
        </w:rPr>
        <w:t xml:space="preserve">) </w:t>
      </w:r>
    </w:p>
    <w:p w14:paraId="714FFBE0" w14:textId="566691A2" w:rsidR="00935B1C" w:rsidRDefault="00D87FD9" w:rsidP="008E735F">
      <w:pPr>
        <w:pStyle w:val="NoSpacing"/>
        <w:numPr>
          <w:ilvl w:val="0"/>
          <w:numId w:val="36"/>
        </w:numPr>
      </w:pPr>
      <w:r>
        <w:t xml:space="preserve">IV antiviral, </w:t>
      </w:r>
      <w:r w:rsidR="009B24D4" w:rsidRPr="00D370A5">
        <w:rPr>
          <w:b/>
          <w:bCs/>
        </w:rPr>
        <w:t>remdesivir</w:t>
      </w:r>
      <w:r w:rsidR="009B24D4">
        <w:t>, is recommended</w:t>
      </w:r>
      <w:r>
        <w:t xml:space="preserve"> within 7 days of symptom onset as an alternative to nirmatrelvir/ritonavir</w:t>
      </w:r>
      <w:r w:rsidR="00C03E9E">
        <w:t>.</w:t>
      </w:r>
    </w:p>
    <w:p w14:paraId="674A8DC8" w14:textId="77777777" w:rsidR="00D370A5" w:rsidRDefault="00D370A5">
      <w:pPr>
        <w:rPr>
          <w:rFonts w:cstheme="minorHAnsi"/>
          <w:b/>
          <w:bCs/>
          <w:color w:val="002F59"/>
          <w:sz w:val="24"/>
          <w:szCs w:val="28"/>
        </w:rPr>
      </w:pPr>
      <w:r>
        <w:rPr>
          <w:rFonts w:cstheme="minorHAnsi"/>
          <w:b/>
          <w:bCs/>
          <w:color w:val="002F59"/>
          <w:sz w:val="24"/>
          <w:szCs w:val="28"/>
        </w:rPr>
        <w:br w:type="page"/>
      </w:r>
    </w:p>
    <w:p w14:paraId="329C9220" w14:textId="0034A967" w:rsidR="00C03E9E" w:rsidRPr="00527F49" w:rsidRDefault="00C03E9E" w:rsidP="00C03E9E">
      <w:pPr>
        <w:shd w:val="clear" w:color="auto" w:fill="E8ECF0"/>
        <w:spacing w:line="240" w:lineRule="auto"/>
        <w:rPr>
          <w:rFonts w:cstheme="minorHAnsi"/>
          <w:b/>
          <w:bCs/>
          <w:color w:val="002F59"/>
          <w:sz w:val="24"/>
          <w:szCs w:val="24"/>
        </w:rPr>
      </w:pPr>
      <w:r>
        <w:rPr>
          <w:rFonts w:cstheme="minorHAnsi"/>
          <w:b/>
          <w:bCs/>
          <w:color w:val="002F59"/>
          <w:sz w:val="24"/>
          <w:szCs w:val="28"/>
        </w:rPr>
        <w:lastRenderedPageBreak/>
        <w:t xml:space="preserve">Any </w:t>
      </w:r>
      <w:r w:rsidR="00E51854">
        <w:rPr>
          <w:rFonts w:cstheme="minorHAnsi"/>
          <w:b/>
          <w:bCs/>
          <w:color w:val="002F59"/>
          <w:sz w:val="24"/>
          <w:szCs w:val="28"/>
        </w:rPr>
        <w:t xml:space="preserve">other </w:t>
      </w:r>
      <w:r>
        <w:rPr>
          <w:rFonts w:cstheme="minorHAnsi"/>
          <w:b/>
          <w:bCs/>
          <w:color w:val="002F59"/>
          <w:sz w:val="24"/>
          <w:szCs w:val="28"/>
        </w:rPr>
        <w:t xml:space="preserve">new information or evidence </w:t>
      </w:r>
      <w:r w:rsidR="00E51854" w:rsidRPr="00D97D36">
        <w:rPr>
          <w:rFonts w:cstheme="minorHAnsi"/>
          <w:b/>
          <w:bCs/>
          <w:color w:val="002F59"/>
          <w:sz w:val="24"/>
          <w:szCs w:val="28"/>
        </w:rPr>
        <w:t>for the treatment of COVID-19 in mild-moderately ill patients</w:t>
      </w:r>
      <w:r w:rsidR="00E51854">
        <w:rPr>
          <w:rFonts w:cstheme="minorHAnsi"/>
          <w:b/>
          <w:bCs/>
          <w:color w:val="002F59"/>
          <w:sz w:val="24"/>
          <w:szCs w:val="28"/>
        </w:rPr>
        <w:t>?</w:t>
      </w:r>
    </w:p>
    <w:p w14:paraId="7C90A9A1" w14:textId="1FB17E01" w:rsidR="00DF33C1" w:rsidRDefault="006A7E95" w:rsidP="00DF33C1">
      <w:r>
        <w:rPr>
          <w:rFonts w:ascii="Calibri" w:hAnsi="Calibri" w:cs="Calibri"/>
          <w:color w:val="000000"/>
          <w:shd w:val="clear" w:color="auto" w:fill="FFFFFF"/>
        </w:rPr>
        <w:t>At this time, s</w:t>
      </w:r>
      <w:r w:rsidR="00DF33C1">
        <w:rPr>
          <w:rFonts w:ascii="Calibri" w:hAnsi="Calibri" w:cs="Calibri"/>
          <w:color w:val="000000"/>
          <w:shd w:val="clear" w:color="auto" w:fill="FFFFFF"/>
        </w:rPr>
        <w:t>otrovimab is no longer recommended as an alternative to oral antiviral nirmatrelvir/ritonavir (Paxlovid). </w:t>
      </w:r>
      <w:r w:rsidR="00C03E9E" w:rsidRPr="00C03E9E">
        <w:t xml:space="preserve">Sotrovimab exhibits high-level resistance against BQ 1 and BQ 1.1 and low-level resistance against most VoCs in BC. </w:t>
      </w:r>
    </w:p>
    <w:p w14:paraId="7B7F68DA" w14:textId="65143570" w:rsidR="00D370A5" w:rsidRDefault="00DF33C1">
      <w:r>
        <w:t xml:space="preserve">Although sotrovimab may retain activity against XBB 1.5, currently in BC it compromises only </w:t>
      </w:r>
      <w:r w:rsidRPr="00C03E9E">
        <w:t>1.4% of all sequenced VoCs therefore, its role in treatment remains limited.</w:t>
      </w:r>
      <w:r>
        <w:t xml:space="preserve"> Nevertheless, CTC will continue to review and evaluate sotrovimab as</w:t>
      </w:r>
      <w:r w:rsidR="006A7E95">
        <w:t xml:space="preserve"> the prevalence of</w:t>
      </w:r>
      <w:r>
        <w:t xml:space="preserve"> XBB 1.5 is </w:t>
      </w:r>
      <w:r w:rsidR="006A7E95">
        <w:t>increasing and will regularly re-evaluate its role in therapy.</w:t>
      </w:r>
    </w:p>
    <w:p w14:paraId="19ABC4AF" w14:textId="77777777" w:rsidR="00E51854" w:rsidRPr="00E51854" w:rsidRDefault="00E51854" w:rsidP="00E51854">
      <w:pPr>
        <w:rPr>
          <w:b/>
          <w:bCs/>
        </w:rPr>
      </w:pPr>
      <w:r w:rsidRPr="00E51854">
        <w:t xml:space="preserve">Recently, a </w:t>
      </w:r>
      <w:hyperlink r:id="rId15" w:history="1">
        <w:r w:rsidRPr="00E51854">
          <w:rPr>
            <w:rStyle w:val="Hyperlink"/>
          </w:rPr>
          <w:t>positive study evaluating zinc</w:t>
        </w:r>
      </w:hyperlink>
      <w:r w:rsidRPr="00E51854">
        <w:t xml:space="preserve"> for the treatment of COVID-19 has been published. However, due to the low generalizability of this study and a lack of reproducibility by </w:t>
      </w:r>
      <w:hyperlink r:id="rId16" w:history="1">
        <w:r w:rsidRPr="00E51854">
          <w:rPr>
            <w:rStyle w:val="Hyperlink"/>
          </w:rPr>
          <w:t>other trials</w:t>
        </w:r>
      </w:hyperlink>
      <w:r w:rsidRPr="00E51854">
        <w:t>, there is insufficient evidence to recommend zinc for COVID-19 of any disease severity at this time.</w:t>
      </w:r>
    </w:p>
    <w:p w14:paraId="4D7EEF36" w14:textId="77777777" w:rsidR="00E51854" w:rsidRPr="00D370A5" w:rsidRDefault="00E51854" w:rsidP="00D370A5">
      <w:pPr>
        <w:pStyle w:val="NoSpacing"/>
      </w:pPr>
    </w:p>
    <w:p w14:paraId="0D6F6545" w14:textId="77777777" w:rsidR="004C1D7A" w:rsidRPr="00527F49" w:rsidRDefault="004C1D7A" w:rsidP="004C1D7A">
      <w:pPr>
        <w:shd w:val="clear" w:color="auto" w:fill="E8ECF0"/>
        <w:spacing w:line="240" w:lineRule="auto"/>
        <w:rPr>
          <w:rFonts w:cstheme="minorHAnsi"/>
          <w:b/>
          <w:bCs/>
          <w:color w:val="002F59"/>
          <w:sz w:val="24"/>
          <w:szCs w:val="24"/>
        </w:rPr>
      </w:pPr>
      <w:r>
        <w:rPr>
          <w:rFonts w:cstheme="minorHAnsi"/>
          <w:b/>
          <w:bCs/>
          <w:color w:val="002F59"/>
          <w:sz w:val="24"/>
          <w:szCs w:val="28"/>
        </w:rPr>
        <w:t xml:space="preserve">Who can I call to support questions about COVID therapeutics? </w:t>
      </w:r>
    </w:p>
    <w:p w14:paraId="058CB421" w14:textId="77777777" w:rsidR="004C1D7A" w:rsidRDefault="004C1D7A" w:rsidP="004C1D7A">
      <w:pPr>
        <w:rPr>
          <w:lang w:eastAsia="en-CA"/>
        </w:rPr>
      </w:pPr>
      <w:r w:rsidRPr="009907D1">
        <w:rPr>
          <w:lang w:eastAsia="en-CA"/>
        </w:rPr>
        <w:t>For Paxlovid prescribing support for clinicians, please call the Ministry of Health’s Patient and Client Relations at 1-844-915-5005</w:t>
      </w:r>
      <w:r>
        <w:rPr>
          <w:lang w:eastAsia="en-CA"/>
        </w:rPr>
        <w:t xml:space="preserve">. </w:t>
      </w:r>
      <w:r w:rsidRPr="009907D1">
        <w:rPr>
          <w:lang w:eastAsia="en-CA"/>
        </w:rPr>
        <w:t>The line is open Monday through Friday, 8:30 am to 4:30 pm</w:t>
      </w:r>
      <w:r>
        <w:rPr>
          <w:lang w:eastAsia="en-CA"/>
        </w:rPr>
        <w:t xml:space="preserve">. </w:t>
      </w:r>
    </w:p>
    <w:p w14:paraId="01E701FA" w14:textId="00632F5B" w:rsidR="004C1D7A" w:rsidRDefault="004C1D7A" w:rsidP="004C1D7A">
      <w:pPr>
        <w:shd w:val="clear" w:color="auto" w:fill="FFFFFF"/>
        <w:spacing w:line="240" w:lineRule="auto"/>
        <w:rPr>
          <w:lang w:eastAsia="en-CA"/>
        </w:rPr>
      </w:pPr>
      <w:r w:rsidRPr="009907D1">
        <w:rPr>
          <w:lang w:eastAsia="en-CA"/>
        </w:rPr>
        <w:t xml:space="preserve">When calling, be ready to provide patient information </w:t>
      </w:r>
      <w:r>
        <w:rPr>
          <w:lang w:eastAsia="en-CA"/>
        </w:rPr>
        <w:t>(</w:t>
      </w:r>
      <w:r w:rsidRPr="00824BBC">
        <w:rPr>
          <w:lang w:eastAsia="en-CA"/>
        </w:rPr>
        <w:t>Name, date of birth (</w:t>
      </w:r>
      <w:proofErr w:type="spellStart"/>
      <w:r w:rsidRPr="00824BBC">
        <w:rPr>
          <w:lang w:eastAsia="en-CA"/>
        </w:rPr>
        <w:t>DoB</w:t>
      </w:r>
      <w:proofErr w:type="spellEnd"/>
      <w:r w:rsidRPr="00824BBC">
        <w:rPr>
          <w:lang w:eastAsia="en-CA"/>
        </w:rPr>
        <w:t>), personal health number (PHN), and any relevant medical info</w:t>
      </w:r>
      <w:r>
        <w:rPr>
          <w:lang w:eastAsia="en-CA"/>
        </w:rPr>
        <w:t xml:space="preserve">) </w:t>
      </w:r>
      <w:r w:rsidRPr="009907D1">
        <w:rPr>
          <w:lang w:eastAsia="en-CA"/>
        </w:rPr>
        <w:t>and a call-back number. A pharmacist will respond as soon as possible</w:t>
      </w:r>
      <w:r>
        <w:rPr>
          <w:lang w:eastAsia="en-CA"/>
        </w:rPr>
        <w:t>.</w:t>
      </w:r>
      <w:r w:rsidRPr="009907D1">
        <w:rPr>
          <w:lang w:eastAsia="en-CA"/>
        </w:rPr>
        <w:t xml:space="preserve"> </w:t>
      </w:r>
    </w:p>
    <w:p w14:paraId="086F3FF5" w14:textId="77777777" w:rsidR="00670417" w:rsidRPr="00D370A5" w:rsidRDefault="00670417" w:rsidP="00D370A5">
      <w:pPr>
        <w:pStyle w:val="NoSpacing"/>
      </w:pPr>
    </w:p>
    <w:p w14:paraId="17E660DF" w14:textId="77777777" w:rsidR="008F7F6F" w:rsidRDefault="008F7F6F" w:rsidP="008F7F6F">
      <w:pPr>
        <w:shd w:val="clear" w:color="auto" w:fill="E8ECF0"/>
        <w:spacing w:line="240" w:lineRule="auto"/>
        <w:rPr>
          <w:rFonts w:cstheme="minorHAnsi"/>
          <w:b/>
          <w:color w:val="002F59"/>
          <w:sz w:val="24"/>
          <w:szCs w:val="24"/>
        </w:rPr>
      </w:pPr>
      <w:r>
        <w:rPr>
          <w:rFonts w:cstheme="minorHAnsi"/>
          <w:b/>
          <w:color w:val="002F59"/>
          <w:sz w:val="24"/>
          <w:szCs w:val="24"/>
        </w:rPr>
        <w:t xml:space="preserve">What other materials are available? </w:t>
      </w:r>
    </w:p>
    <w:p w14:paraId="7C1F0899" w14:textId="77777777" w:rsidR="008F7F6F" w:rsidRPr="002C2311" w:rsidRDefault="008F7F6F" w:rsidP="008F7F6F">
      <w:pPr>
        <w:pStyle w:val="ListParagraph"/>
        <w:numPr>
          <w:ilvl w:val="0"/>
          <w:numId w:val="28"/>
        </w:numPr>
        <w:rPr>
          <w:color w:val="212121"/>
        </w:rPr>
      </w:pPr>
      <w:r w:rsidRPr="002C2311">
        <w:t>The </w:t>
      </w:r>
      <w:hyperlink r:id="rId17" w:tgtFrame="_blank" w:history="1">
        <w:r w:rsidRPr="002C2311">
          <w:rPr>
            <w:rStyle w:val="Hyperlink"/>
            <w:rFonts w:ascii="Calibri" w:hAnsi="Calibri" w:cs="Calibri"/>
          </w:rPr>
          <w:t>COVID-19 self assessment tool</w:t>
        </w:r>
      </w:hyperlink>
      <w:r w:rsidRPr="002C2311">
        <w:t> </w:t>
      </w:r>
      <w:r>
        <w:t>can be used with patients.</w:t>
      </w:r>
    </w:p>
    <w:p w14:paraId="4D99E19F" w14:textId="77777777" w:rsidR="008F7F6F" w:rsidRPr="002C2311" w:rsidRDefault="008F7F6F" w:rsidP="008F7F6F">
      <w:pPr>
        <w:pStyle w:val="ListParagraph"/>
        <w:numPr>
          <w:ilvl w:val="0"/>
          <w:numId w:val="28"/>
        </w:numPr>
        <w:rPr>
          <w:color w:val="212121"/>
        </w:rPr>
      </w:pPr>
      <w:r w:rsidRPr="002C2311">
        <w:t>The </w:t>
      </w:r>
      <w:hyperlink r:id="rId18" w:tgtFrame="_blank" w:history="1">
        <w:r w:rsidRPr="002C2311">
          <w:rPr>
            <w:rStyle w:val="Hyperlink"/>
            <w:rFonts w:ascii="Calibri" w:hAnsi="Calibri" w:cs="Calibri"/>
          </w:rPr>
          <w:t>Where to get a COVID-19 Test in BC</w:t>
        </w:r>
      </w:hyperlink>
      <w:r w:rsidRPr="002C2311">
        <w:t xml:space="preserve"> page </w:t>
      </w:r>
      <w:r>
        <w:t>includes</w:t>
      </w:r>
      <w:r w:rsidRPr="002C2311">
        <w:t xml:space="preserve"> direct</w:t>
      </w:r>
      <w:r>
        <w:t xml:space="preserve"> links</w:t>
      </w:r>
      <w:r w:rsidRPr="002C2311">
        <w:t xml:space="preserve"> to health authority-specific information.</w:t>
      </w:r>
    </w:p>
    <w:p w14:paraId="5EC319EE" w14:textId="4AFB648E" w:rsidR="002C2311" w:rsidRPr="00FA0973" w:rsidRDefault="008F7F6F" w:rsidP="00675AAA">
      <w:pPr>
        <w:pStyle w:val="ListParagraph"/>
        <w:numPr>
          <w:ilvl w:val="0"/>
          <w:numId w:val="28"/>
        </w:numPr>
      </w:pPr>
      <w:r w:rsidRPr="002C2311">
        <w:t>The </w:t>
      </w:r>
      <w:hyperlink r:id="rId19" w:tgtFrame="_blank" w:history="1">
        <w:r w:rsidRPr="00D370A5">
          <w:rPr>
            <w:rStyle w:val="Hyperlink"/>
            <w:rFonts w:ascii="Calibri" w:hAnsi="Calibri" w:cs="Calibri"/>
          </w:rPr>
          <w:t>Fall outlook – Respiratory viruses in BC</w:t>
        </w:r>
      </w:hyperlink>
      <w:r w:rsidRPr="00D370A5">
        <w:rPr>
          <w:rStyle w:val="Hyperlink"/>
          <w:rFonts w:ascii="Calibri" w:hAnsi="Calibri" w:cs="Calibri"/>
        </w:rPr>
        <w:t xml:space="preserve"> (Nov 16)</w:t>
      </w:r>
      <w:r w:rsidRPr="002C2311">
        <w:t> slide deck presented by the PHO is available online. Previous slide decks can be found on the </w:t>
      </w:r>
      <w:hyperlink r:id="rId20" w:tgtFrame="_blank" w:history="1">
        <w:r w:rsidRPr="00D370A5">
          <w:rPr>
            <w:rStyle w:val="Hyperlink"/>
            <w:rFonts w:ascii="Calibri" w:hAnsi="Calibri" w:cs="Calibri"/>
          </w:rPr>
          <w:t>COVID-19 Briefings</w:t>
        </w:r>
      </w:hyperlink>
      <w:r w:rsidRPr="002C2311">
        <w:t> page</w:t>
      </w:r>
      <w:r w:rsidR="00D370A5">
        <w:t>.</w:t>
      </w:r>
    </w:p>
    <w:sectPr w:rsidR="002C2311" w:rsidRPr="00FA0973" w:rsidSect="00FA04E0">
      <w:headerReference w:type="default" r:id="rId2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2AD9" w14:textId="77777777" w:rsidR="00742535" w:rsidRDefault="00742535" w:rsidP="00086CC5">
      <w:pPr>
        <w:spacing w:after="0" w:line="240" w:lineRule="auto"/>
      </w:pPr>
      <w:r>
        <w:separator/>
      </w:r>
    </w:p>
  </w:endnote>
  <w:endnote w:type="continuationSeparator" w:id="0">
    <w:p w14:paraId="26262C17" w14:textId="77777777" w:rsidR="00742535" w:rsidRDefault="00742535" w:rsidP="0008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27B2" w14:textId="77777777" w:rsidR="00742535" w:rsidRDefault="00742535" w:rsidP="00086CC5">
      <w:pPr>
        <w:spacing w:after="0" w:line="240" w:lineRule="auto"/>
      </w:pPr>
      <w:r>
        <w:separator/>
      </w:r>
    </w:p>
  </w:footnote>
  <w:footnote w:type="continuationSeparator" w:id="0">
    <w:p w14:paraId="69753C87" w14:textId="77777777" w:rsidR="00742535" w:rsidRDefault="00742535" w:rsidP="0008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1FA4" w14:textId="6AA4A554" w:rsidR="00EA09E7" w:rsidRDefault="009D5DF0" w:rsidP="009D5DF0">
    <w:pPr>
      <w:pStyle w:val="Header"/>
    </w:pPr>
    <w:r w:rsidRPr="009D5DF0">
      <w:rPr>
        <w:b/>
        <w:bCs/>
        <w:noProof/>
        <w:lang w:eastAsia="en-CA"/>
      </w:rPr>
      <w:drawing>
        <wp:inline distT="0" distB="0" distL="0" distR="0" wp14:anchorId="59F701D4" wp14:editId="58EC6C01">
          <wp:extent cx="5943600" cy="287655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BA9DBF92-9884-412A-AC3A-7882F4FAAF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A9DBF92-9884-412A-AC3A-7882F4FAAF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776C9" w14:textId="2144CCBF" w:rsidR="00637956" w:rsidRDefault="00637956" w:rsidP="009D5DF0">
    <w:pPr>
      <w:pStyle w:val="Header"/>
    </w:pPr>
  </w:p>
  <w:p w14:paraId="3A83D45F" w14:textId="4752B70D" w:rsidR="00637956" w:rsidRPr="007B3F2C" w:rsidRDefault="0039430B" w:rsidP="00637956">
    <w:pPr>
      <w:pStyle w:val="Heading1"/>
      <w:spacing w:before="120" w:line="240" w:lineRule="auto"/>
      <w:rPr>
        <w:b/>
        <w:lang w:val="en-US"/>
      </w:rPr>
    </w:pPr>
    <w:r>
      <w:rPr>
        <w:b/>
        <w:lang w:val="en-US"/>
      </w:rPr>
      <w:t>COVID Testing</w:t>
    </w:r>
    <w:r w:rsidR="006A7E95">
      <w:rPr>
        <w:b/>
        <w:lang w:val="en-US"/>
      </w:rPr>
      <w:t xml:space="preserve"> and Treatment</w:t>
    </w:r>
    <w:r>
      <w:rPr>
        <w:b/>
        <w:lang w:val="en-US"/>
      </w:rPr>
      <w:t xml:space="preserve"> Guidance </w:t>
    </w:r>
  </w:p>
  <w:p w14:paraId="676F790D" w14:textId="0E7E47A4" w:rsidR="00637956" w:rsidRDefault="008E7F64" w:rsidP="0039430B">
    <w:pPr>
      <w:pStyle w:val="Heading1"/>
      <w:spacing w:before="120" w:line="240" w:lineRule="auto"/>
      <w:rPr>
        <w:sz w:val="24"/>
        <w:szCs w:val="24"/>
        <w:lang w:val="en-US"/>
      </w:rPr>
    </w:pPr>
    <w:r>
      <w:rPr>
        <w:sz w:val="24"/>
        <w:szCs w:val="24"/>
        <w:lang w:val="en-US"/>
      </w:rPr>
      <w:t xml:space="preserve">Update for </w:t>
    </w:r>
    <w:r w:rsidR="005D5D77">
      <w:rPr>
        <w:sz w:val="24"/>
        <w:szCs w:val="24"/>
        <w:lang w:val="en-US"/>
      </w:rPr>
      <w:t>prescribers</w:t>
    </w:r>
    <w:r w:rsidR="006A40F6">
      <w:rPr>
        <w:sz w:val="24"/>
        <w:szCs w:val="24"/>
        <w:lang w:val="en-US"/>
      </w:rPr>
      <w:t xml:space="preserve"> – </w:t>
    </w:r>
    <w:r w:rsidR="00412857">
      <w:rPr>
        <w:sz w:val="24"/>
        <w:szCs w:val="24"/>
        <w:lang w:val="en-US"/>
      </w:rPr>
      <w:t>January</w:t>
    </w:r>
    <w:r w:rsidR="0039430B">
      <w:rPr>
        <w:sz w:val="24"/>
        <w:szCs w:val="24"/>
        <w:lang w:val="en-US"/>
      </w:rPr>
      <w:t xml:space="preserve"> </w:t>
    </w:r>
    <w:r w:rsidR="00AE5F0E">
      <w:rPr>
        <w:sz w:val="24"/>
        <w:szCs w:val="24"/>
        <w:lang w:val="en-US"/>
      </w:rPr>
      <w:t>25</w:t>
    </w:r>
    <w:r w:rsidR="0039430B">
      <w:rPr>
        <w:sz w:val="24"/>
        <w:szCs w:val="24"/>
        <w:lang w:val="en-US"/>
      </w:rPr>
      <w:t>, 202</w:t>
    </w:r>
    <w:r w:rsidR="00412857">
      <w:rPr>
        <w:sz w:val="24"/>
        <w:szCs w:val="24"/>
        <w:lang w:val="en-US"/>
      </w:rPr>
      <w:t>3</w:t>
    </w:r>
  </w:p>
  <w:p w14:paraId="1CC36B91" w14:textId="77777777" w:rsidR="0039430B" w:rsidRPr="0039430B" w:rsidRDefault="0039430B" w:rsidP="0039430B">
    <w:pPr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06"/>
    <w:multiLevelType w:val="multilevel"/>
    <w:tmpl w:val="7A98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6FCE"/>
    <w:multiLevelType w:val="hybridMultilevel"/>
    <w:tmpl w:val="090C8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DAD"/>
    <w:multiLevelType w:val="hybridMultilevel"/>
    <w:tmpl w:val="10026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5ED"/>
    <w:multiLevelType w:val="hybridMultilevel"/>
    <w:tmpl w:val="C4627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82F"/>
    <w:multiLevelType w:val="multilevel"/>
    <w:tmpl w:val="71CE7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193DC4"/>
    <w:multiLevelType w:val="hybridMultilevel"/>
    <w:tmpl w:val="8794D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EB1"/>
    <w:multiLevelType w:val="hybridMultilevel"/>
    <w:tmpl w:val="54605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6234"/>
    <w:multiLevelType w:val="hybridMultilevel"/>
    <w:tmpl w:val="57CC8482"/>
    <w:lvl w:ilvl="0" w:tplc="B876FB9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5D8B"/>
    <w:multiLevelType w:val="hybridMultilevel"/>
    <w:tmpl w:val="014871EC"/>
    <w:lvl w:ilvl="0" w:tplc="887C9C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4EE3"/>
    <w:multiLevelType w:val="hybridMultilevel"/>
    <w:tmpl w:val="3580B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1FA3"/>
    <w:multiLevelType w:val="hybridMultilevel"/>
    <w:tmpl w:val="ED5A1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11935"/>
    <w:multiLevelType w:val="hybridMultilevel"/>
    <w:tmpl w:val="EDC2AE36"/>
    <w:lvl w:ilvl="0" w:tplc="97BCB2F4">
      <w:numFmt w:val="bullet"/>
      <w:lvlText w:val=""/>
      <w:lvlJc w:val="left"/>
      <w:pPr>
        <w:ind w:left="680" w:hanging="32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6CE5"/>
    <w:multiLevelType w:val="hybridMultilevel"/>
    <w:tmpl w:val="0F243B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2E80"/>
    <w:multiLevelType w:val="hybridMultilevel"/>
    <w:tmpl w:val="0DB2AB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52443"/>
    <w:multiLevelType w:val="hybridMultilevel"/>
    <w:tmpl w:val="39C0FC60"/>
    <w:lvl w:ilvl="0" w:tplc="DE5E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E3961"/>
    <w:multiLevelType w:val="hybridMultilevel"/>
    <w:tmpl w:val="12F46450"/>
    <w:lvl w:ilvl="0" w:tplc="B876FB9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618FC"/>
    <w:multiLevelType w:val="multilevel"/>
    <w:tmpl w:val="71CE7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8435F6"/>
    <w:multiLevelType w:val="hybridMultilevel"/>
    <w:tmpl w:val="043CDE22"/>
    <w:lvl w:ilvl="0" w:tplc="B876FB9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6634"/>
    <w:multiLevelType w:val="hybridMultilevel"/>
    <w:tmpl w:val="5C129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4F22"/>
    <w:multiLevelType w:val="multilevel"/>
    <w:tmpl w:val="EAB0E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1F497D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F6016B2"/>
    <w:multiLevelType w:val="hybridMultilevel"/>
    <w:tmpl w:val="C99AA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B7D40"/>
    <w:multiLevelType w:val="hybridMultilevel"/>
    <w:tmpl w:val="CDD4F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F746F0"/>
    <w:multiLevelType w:val="hybridMultilevel"/>
    <w:tmpl w:val="60564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8B1F8">
      <w:start w:val="2"/>
      <w:numFmt w:val="bullet"/>
      <w:lvlText w:val="•"/>
      <w:lvlJc w:val="left"/>
      <w:pPr>
        <w:ind w:left="1540" w:hanging="460"/>
      </w:pPr>
      <w:rPr>
        <w:rFonts w:ascii="Calibri" w:eastAsia="Calibri" w:hAnsi="Calibri" w:cs="Calibr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403CC"/>
    <w:multiLevelType w:val="multilevel"/>
    <w:tmpl w:val="CF18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B5FF6"/>
    <w:multiLevelType w:val="hybridMultilevel"/>
    <w:tmpl w:val="3836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15327"/>
    <w:multiLevelType w:val="multilevel"/>
    <w:tmpl w:val="9BD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23C30"/>
    <w:multiLevelType w:val="multilevel"/>
    <w:tmpl w:val="EAB0E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1F497D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4F03504"/>
    <w:multiLevelType w:val="hybridMultilevel"/>
    <w:tmpl w:val="567E9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83791"/>
    <w:multiLevelType w:val="hybridMultilevel"/>
    <w:tmpl w:val="E9DC2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0722"/>
    <w:multiLevelType w:val="hybridMultilevel"/>
    <w:tmpl w:val="B220F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F0313"/>
    <w:multiLevelType w:val="hybridMultilevel"/>
    <w:tmpl w:val="3BB29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9508D"/>
    <w:multiLevelType w:val="hybridMultilevel"/>
    <w:tmpl w:val="60587F72"/>
    <w:lvl w:ilvl="0" w:tplc="B876FB9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F5227"/>
    <w:multiLevelType w:val="hybridMultilevel"/>
    <w:tmpl w:val="10026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365D1"/>
    <w:multiLevelType w:val="hybridMultilevel"/>
    <w:tmpl w:val="FEC8F7DC"/>
    <w:lvl w:ilvl="0" w:tplc="F3CA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E4B7C"/>
    <w:multiLevelType w:val="multilevel"/>
    <w:tmpl w:val="155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724298"/>
    <w:multiLevelType w:val="hybridMultilevel"/>
    <w:tmpl w:val="100265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00415"/>
    <w:multiLevelType w:val="hybridMultilevel"/>
    <w:tmpl w:val="A8FA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09598">
    <w:abstractNumId w:val="29"/>
  </w:num>
  <w:num w:numId="2" w16cid:durableId="372005480">
    <w:abstractNumId w:val="6"/>
  </w:num>
  <w:num w:numId="3" w16cid:durableId="677736068">
    <w:abstractNumId w:val="20"/>
  </w:num>
  <w:num w:numId="4" w16cid:durableId="1938782941">
    <w:abstractNumId w:val="12"/>
  </w:num>
  <w:num w:numId="5" w16cid:durableId="835805195">
    <w:abstractNumId w:val="18"/>
  </w:num>
  <w:num w:numId="6" w16cid:durableId="1941601876">
    <w:abstractNumId w:val="23"/>
  </w:num>
  <w:num w:numId="7" w16cid:durableId="910773193">
    <w:abstractNumId w:val="3"/>
  </w:num>
  <w:num w:numId="8" w16cid:durableId="1920094620">
    <w:abstractNumId w:val="5"/>
  </w:num>
  <w:num w:numId="9" w16cid:durableId="294801946">
    <w:abstractNumId w:val="14"/>
  </w:num>
  <w:num w:numId="10" w16cid:durableId="1869369168">
    <w:abstractNumId w:val="9"/>
  </w:num>
  <w:num w:numId="11" w16cid:durableId="801575173">
    <w:abstractNumId w:val="30"/>
  </w:num>
  <w:num w:numId="12" w16cid:durableId="1792747825">
    <w:abstractNumId w:val="11"/>
  </w:num>
  <w:num w:numId="13" w16cid:durableId="955869926">
    <w:abstractNumId w:val="22"/>
  </w:num>
  <w:num w:numId="14" w16cid:durableId="1518619543">
    <w:abstractNumId w:val="35"/>
  </w:num>
  <w:num w:numId="15" w16cid:durableId="165681587">
    <w:abstractNumId w:val="28"/>
  </w:num>
  <w:num w:numId="16" w16cid:durableId="1939171967">
    <w:abstractNumId w:val="13"/>
  </w:num>
  <w:num w:numId="17" w16cid:durableId="104228073">
    <w:abstractNumId w:val="21"/>
  </w:num>
  <w:num w:numId="18" w16cid:durableId="1747218101">
    <w:abstractNumId w:val="2"/>
  </w:num>
  <w:num w:numId="19" w16cid:durableId="1336349184">
    <w:abstractNumId w:val="32"/>
  </w:num>
  <w:num w:numId="20" w16cid:durableId="798307745">
    <w:abstractNumId w:val="0"/>
  </w:num>
  <w:num w:numId="21" w16cid:durableId="1465583286">
    <w:abstractNumId w:val="34"/>
  </w:num>
  <w:num w:numId="22" w16cid:durableId="396755649">
    <w:abstractNumId w:val="25"/>
  </w:num>
  <w:num w:numId="23" w16cid:durableId="1471826228">
    <w:abstractNumId w:val="10"/>
  </w:num>
  <w:num w:numId="24" w16cid:durableId="655232295">
    <w:abstractNumId w:val="36"/>
  </w:num>
  <w:num w:numId="25" w16cid:durableId="680278172">
    <w:abstractNumId w:val="16"/>
  </w:num>
  <w:num w:numId="26" w16cid:durableId="1513256184">
    <w:abstractNumId w:val="4"/>
  </w:num>
  <w:num w:numId="27" w16cid:durableId="1712225841">
    <w:abstractNumId w:val="19"/>
  </w:num>
  <w:num w:numId="28" w16cid:durableId="381565680">
    <w:abstractNumId w:val="26"/>
  </w:num>
  <w:num w:numId="29" w16cid:durableId="134492882">
    <w:abstractNumId w:val="24"/>
  </w:num>
  <w:num w:numId="30" w16cid:durableId="1968583633">
    <w:abstractNumId w:val="1"/>
  </w:num>
  <w:num w:numId="31" w16cid:durableId="746194599">
    <w:abstractNumId w:val="31"/>
  </w:num>
  <w:num w:numId="32" w16cid:durableId="400719834">
    <w:abstractNumId w:val="15"/>
  </w:num>
  <w:num w:numId="33" w16cid:durableId="273486338">
    <w:abstractNumId w:val="7"/>
  </w:num>
  <w:num w:numId="34" w16cid:durableId="1745176649">
    <w:abstractNumId w:val="27"/>
  </w:num>
  <w:num w:numId="35" w16cid:durableId="1194030866">
    <w:abstractNumId w:val="8"/>
  </w:num>
  <w:num w:numId="36" w16cid:durableId="1503819119">
    <w:abstractNumId w:val="17"/>
  </w:num>
  <w:num w:numId="37" w16cid:durableId="4774559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wMDAA0haWlmYGRko6SsGpxcWZ+XkgBYYWtQCik+/XLQAAAA=="/>
  </w:docVars>
  <w:rsids>
    <w:rsidRoot w:val="00086CC5"/>
    <w:rsid w:val="00000083"/>
    <w:rsid w:val="00011670"/>
    <w:rsid w:val="00023304"/>
    <w:rsid w:val="00041796"/>
    <w:rsid w:val="00042667"/>
    <w:rsid w:val="00081163"/>
    <w:rsid w:val="00086CC5"/>
    <w:rsid w:val="00095112"/>
    <w:rsid w:val="0009735E"/>
    <w:rsid w:val="000A1E7D"/>
    <w:rsid w:val="000D5E62"/>
    <w:rsid w:val="000E265C"/>
    <w:rsid w:val="000E5079"/>
    <w:rsid w:val="00127346"/>
    <w:rsid w:val="001662ED"/>
    <w:rsid w:val="00172843"/>
    <w:rsid w:val="00234A85"/>
    <w:rsid w:val="00254916"/>
    <w:rsid w:val="00254BA0"/>
    <w:rsid w:val="00257C91"/>
    <w:rsid w:val="002B03B1"/>
    <w:rsid w:val="002C2311"/>
    <w:rsid w:val="002E4AD9"/>
    <w:rsid w:val="00300732"/>
    <w:rsid w:val="00336DDB"/>
    <w:rsid w:val="00383D79"/>
    <w:rsid w:val="00385C1B"/>
    <w:rsid w:val="00390118"/>
    <w:rsid w:val="0039430B"/>
    <w:rsid w:val="003B001C"/>
    <w:rsid w:val="003B57DB"/>
    <w:rsid w:val="003D17B3"/>
    <w:rsid w:val="003F4DF9"/>
    <w:rsid w:val="00412857"/>
    <w:rsid w:val="004154BC"/>
    <w:rsid w:val="00423DD7"/>
    <w:rsid w:val="004328E4"/>
    <w:rsid w:val="00451BC9"/>
    <w:rsid w:val="00462472"/>
    <w:rsid w:val="00483CCA"/>
    <w:rsid w:val="004977C2"/>
    <w:rsid w:val="004C0DE7"/>
    <w:rsid w:val="004C1D7A"/>
    <w:rsid w:val="004D6760"/>
    <w:rsid w:val="004D7F0B"/>
    <w:rsid w:val="004E4748"/>
    <w:rsid w:val="004E500B"/>
    <w:rsid w:val="004E54AD"/>
    <w:rsid w:val="004E70F9"/>
    <w:rsid w:val="005221F7"/>
    <w:rsid w:val="00527F49"/>
    <w:rsid w:val="00531EB7"/>
    <w:rsid w:val="00547293"/>
    <w:rsid w:val="005504BB"/>
    <w:rsid w:val="0057089C"/>
    <w:rsid w:val="0058154E"/>
    <w:rsid w:val="00595B50"/>
    <w:rsid w:val="005D3063"/>
    <w:rsid w:val="005D5D77"/>
    <w:rsid w:val="005F10FF"/>
    <w:rsid w:val="00637956"/>
    <w:rsid w:val="00670417"/>
    <w:rsid w:val="00675C9D"/>
    <w:rsid w:val="006A40F6"/>
    <w:rsid w:val="006A759E"/>
    <w:rsid w:val="006A7E95"/>
    <w:rsid w:val="006B53A0"/>
    <w:rsid w:val="006C6FD3"/>
    <w:rsid w:val="006E2E6B"/>
    <w:rsid w:val="00737E9B"/>
    <w:rsid w:val="00742535"/>
    <w:rsid w:val="00743929"/>
    <w:rsid w:val="00754105"/>
    <w:rsid w:val="00756535"/>
    <w:rsid w:val="007636EA"/>
    <w:rsid w:val="00765B33"/>
    <w:rsid w:val="00792F32"/>
    <w:rsid w:val="007A7A68"/>
    <w:rsid w:val="007B66C4"/>
    <w:rsid w:val="007F5FA0"/>
    <w:rsid w:val="00801383"/>
    <w:rsid w:val="008175C1"/>
    <w:rsid w:val="00824BBC"/>
    <w:rsid w:val="00834F35"/>
    <w:rsid w:val="00854F0E"/>
    <w:rsid w:val="008855CC"/>
    <w:rsid w:val="008B6B9D"/>
    <w:rsid w:val="008D51F6"/>
    <w:rsid w:val="008E61AE"/>
    <w:rsid w:val="008E7F64"/>
    <w:rsid w:val="008F7F6F"/>
    <w:rsid w:val="00935B1C"/>
    <w:rsid w:val="00996E63"/>
    <w:rsid w:val="00997D50"/>
    <w:rsid w:val="009A0BF8"/>
    <w:rsid w:val="009B24D4"/>
    <w:rsid w:val="009C1619"/>
    <w:rsid w:val="009C71ED"/>
    <w:rsid w:val="009D5DF0"/>
    <w:rsid w:val="009E00B1"/>
    <w:rsid w:val="009E1CBB"/>
    <w:rsid w:val="009F2CCD"/>
    <w:rsid w:val="00A03797"/>
    <w:rsid w:val="00A2648C"/>
    <w:rsid w:val="00A3410D"/>
    <w:rsid w:val="00A45F14"/>
    <w:rsid w:val="00A615DA"/>
    <w:rsid w:val="00A70319"/>
    <w:rsid w:val="00A74B22"/>
    <w:rsid w:val="00A82EAC"/>
    <w:rsid w:val="00AE5F0E"/>
    <w:rsid w:val="00B36EBF"/>
    <w:rsid w:val="00BA14BF"/>
    <w:rsid w:val="00BF206A"/>
    <w:rsid w:val="00BF3865"/>
    <w:rsid w:val="00C03E9E"/>
    <w:rsid w:val="00C26280"/>
    <w:rsid w:val="00C27E09"/>
    <w:rsid w:val="00C36C68"/>
    <w:rsid w:val="00C51FC0"/>
    <w:rsid w:val="00CB6FC6"/>
    <w:rsid w:val="00CC1BB6"/>
    <w:rsid w:val="00CD0A91"/>
    <w:rsid w:val="00CD5DDC"/>
    <w:rsid w:val="00CE5A25"/>
    <w:rsid w:val="00CF445E"/>
    <w:rsid w:val="00CF75C6"/>
    <w:rsid w:val="00D13C75"/>
    <w:rsid w:val="00D17F43"/>
    <w:rsid w:val="00D34909"/>
    <w:rsid w:val="00D370A5"/>
    <w:rsid w:val="00D41BA2"/>
    <w:rsid w:val="00D8021F"/>
    <w:rsid w:val="00D87FD9"/>
    <w:rsid w:val="00D97D36"/>
    <w:rsid w:val="00DD418F"/>
    <w:rsid w:val="00DF33C1"/>
    <w:rsid w:val="00DF5070"/>
    <w:rsid w:val="00E34C07"/>
    <w:rsid w:val="00E51854"/>
    <w:rsid w:val="00E628D9"/>
    <w:rsid w:val="00E71C32"/>
    <w:rsid w:val="00EA09E7"/>
    <w:rsid w:val="00ED5543"/>
    <w:rsid w:val="00EE10C4"/>
    <w:rsid w:val="00EE28E2"/>
    <w:rsid w:val="00EE3E9B"/>
    <w:rsid w:val="00EF082F"/>
    <w:rsid w:val="00EF71E6"/>
    <w:rsid w:val="00F07BA6"/>
    <w:rsid w:val="00F32869"/>
    <w:rsid w:val="00F647F2"/>
    <w:rsid w:val="00F671D2"/>
    <w:rsid w:val="00FA04E0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A439"/>
  <w15:chartTrackingRefBased/>
  <w15:docId w15:val="{D8BA293F-7BA1-46F8-A9DF-759B83E7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C5"/>
  </w:style>
  <w:style w:type="paragraph" w:styleId="Footer">
    <w:name w:val="footer"/>
    <w:basedOn w:val="Normal"/>
    <w:link w:val="FooterChar"/>
    <w:uiPriority w:val="99"/>
    <w:unhideWhenUsed/>
    <w:rsid w:val="0008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C5"/>
  </w:style>
  <w:style w:type="character" w:customStyle="1" w:styleId="Heading1Char">
    <w:name w:val="Heading 1 Char"/>
    <w:basedOn w:val="DefaultParagraphFont"/>
    <w:link w:val="Heading1"/>
    <w:uiPriority w:val="9"/>
    <w:rsid w:val="00086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BN 1,Paperitemletter,Dot pt,Liste 1,Lst Bullet,List Paragraph 1,F5 List Paragraph,List Paragraph1,Colorful List - Accent 11,No Spacing1,List Paragraph Char Char Char,Indicator Text,Numbered Para 1,Bullet 1,Bullet Points,List Paragraph2"/>
    <w:basedOn w:val="Normal"/>
    <w:link w:val="ListParagraphChar"/>
    <w:uiPriority w:val="34"/>
    <w:qFormat/>
    <w:rsid w:val="006A7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5112"/>
    <w:pPr>
      <w:spacing w:after="0" w:line="240" w:lineRule="auto"/>
    </w:pPr>
  </w:style>
  <w:style w:type="paragraph" w:styleId="NoSpacing">
    <w:name w:val="No Spacing"/>
    <w:uiPriority w:val="1"/>
    <w:qFormat/>
    <w:rsid w:val="00637956"/>
    <w:pPr>
      <w:spacing w:after="0" w:line="240" w:lineRule="auto"/>
    </w:pPr>
  </w:style>
  <w:style w:type="character" w:customStyle="1" w:styleId="ListParagraphChar">
    <w:name w:val="List Paragraph Char"/>
    <w:aliases w:val="BN 1 Char,Paperitemletter Char,Dot pt Char,Liste 1 Char,Lst Bullet Char,List Paragraph 1 Char,F5 List Paragraph Char,List Paragraph1 Char,Colorful List - Accent 11 Char,No Spacing1 Char,List Paragraph Char Char Char Char"/>
    <w:basedOn w:val="DefaultParagraphFont"/>
    <w:link w:val="ListParagraph"/>
    <w:uiPriority w:val="34"/>
    <w:qFormat/>
    <w:locked/>
    <w:rsid w:val="0063795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F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00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E5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4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A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15DA"/>
    <w:rPr>
      <w:color w:val="605E5C"/>
      <w:shd w:val="clear" w:color="auto" w:fill="E1DFDD"/>
    </w:rPr>
  </w:style>
  <w:style w:type="paragraph" w:customStyle="1" w:styleId="Default">
    <w:name w:val="Default"/>
    <w:rsid w:val="009C1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59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dc.ca/health-professionals/clinical-resources/covid-19-care/treatments" TargetMode="External"/><Relationship Id="rId13" Type="http://schemas.openxmlformats.org/officeDocument/2006/relationships/hyperlink" Target="https://www.thelancet.com/journals/lanres/article/PIIS2213-2600(22)00452-0/fulltext/" TargetMode="External"/><Relationship Id="rId18" Type="http://schemas.openxmlformats.org/officeDocument/2006/relationships/hyperlink" Target="http://www.bccdc.ca/health-info/diseases-conditions/covid-19/testing/where-to-get-a-covid-19-test-in-b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ecalls-rappels.canada.ca/en/alert-recall/evusheld-tixagevimab-and-cilgavimab-injection-risk-prophylaxis-or-treatment-failure-0" TargetMode="External"/><Relationship Id="rId17" Type="http://schemas.openxmlformats.org/officeDocument/2006/relationships/hyperlink" Target="https://covidcheck.gov.bc.ca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journalofinfection.com/article/S0163-4453(23)00028-2/fulltext" TargetMode="External"/><Relationship Id="rId20" Type="http://schemas.openxmlformats.org/officeDocument/2006/relationships/hyperlink" Target="http://www.bccdc.ca/health-info/diseases-conditions/covid-19/brief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db.stanford.edu/susceptibility-data/table-mab-susc/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academic.oup.com/cid/article/76/2/185/67952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ccdc.ca/health-info/diseases-conditions/covid-19/testing" TargetMode="External"/><Relationship Id="rId19" Type="http://schemas.openxmlformats.org/officeDocument/2006/relationships/hyperlink" Target="http://www.bccdc.ca/Health-Info-Site/Documents/COVID_briefings/Fall_Outlook_Respiratory_viruses_Nov16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dc.ca/health-info/diseases-conditions/covid-19/testing/where-to-get-a-covid-19-test-in-bc" TargetMode="External"/><Relationship Id="rId14" Type="http://schemas.openxmlformats.org/officeDocument/2006/relationships/hyperlink" Target="https://www.ncbi.nlm.nih.gov/pmc/articles/PMC9714079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97854846E0540A47D826F34046BD6" ma:contentTypeVersion="14" ma:contentTypeDescription="Create a new document." ma:contentTypeScope="" ma:versionID="1c4686deedf7bb7794b92eb13493d4e3">
  <xsd:schema xmlns:xsd="http://www.w3.org/2001/XMLSchema" xmlns:xs="http://www.w3.org/2001/XMLSchema" xmlns:p="http://schemas.microsoft.com/office/2006/metadata/properties" xmlns:ns2="8dbe4a3e-f100-41b4-b40d-50382c95886b" xmlns:ns3="f9f9ad1f-a89d-4229-bd15-ade95fb82753" targetNamespace="http://schemas.microsoft.com/office/2006/metadata/properties" ma:root="true" ma:fieldsID="edb2a576048deabb10dd4eb977417397" ns2:_="" ns3:_="">
    <xsd:import namespace="8dbe4a3e-f100-41b4-b40d-50382c95886b"/>
    <xsd:import namespace="f9f9ad1f-a89d-4229-bd15-ade95fb82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4a3e-f100-41b4-b40d-50382c958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9ad1f-a89d-4229-bd15-ade95fb82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278A4-F10F-4408-965B-CCA3A738D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AA096-4E70-4595-9C4F-8E3186E071A1}"/>
</file>

<file path=customXml/itemProps3.xml><?xml version="1.0" encoding="utf-8"?>
<ds:datastoreItem xmlns:ds="http://schemas.openxmlformats.org/officeDocument/2006/customXml" ds:itemID="{3A82D9E8-B99F-480D-B4B7-D243C4392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Shum</dc:creator>
  <cp:keywords/>
  <dc:description/>
  <cp:lastModifiedBy>Joanne Shum</cp:lastModifiedBy>
  <cp:revision>5</cp:revision>
  <dcterms:created xsi:type="dcterms:W3CDTF">2023-01-25T20:19:00Z</dcterms:created>
  <dcterms:modified xsi:type="dcterms:W3CDTF">2023-01-25T20:27:00Z</dcterms:modified>
</cp:coreProperties>
</file>